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59F" w:rsidRPr="00D0159F" w:rsidRDefault="00D0159F" w:rsidP="00D0159F">
      <w:pPr>
        <w:tabs>
          <w:tab w:val="left" w:pos="706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0159F">
        <w:rPr>
          <w:rFonts w:ascii="Times New Roman" w:hAnsi="Times New Roman" w:cs="Times New Roman"/>
          <w:sz w:val="28"/>
          <w:szCs w:val="28"/>
        </w:rPr>
        <w:t xml:space="preserve">ОДОБРЕНО </w:t>
      </w:r>
    </w:p>
    <w:p w:rsidR="00D0159F" w:rsidRPr="00D0159F" w:rsidRDefault="00D0159F" w:rsidP="00D0159F">
      <w:pPr>
        <w:tabs>
          <w:tab w:val="left" w:pos="706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0159F">
        <w:rPr>
          <w:rFonts w:ascii="Times New Roman" w:hAnsi="Times New Roman" w:cs="Times New Roman"/>
          <w:sz w:val="28"/>
          <w:szCs w:val="28"/>
        </w:rPr>
        <w:t>Главой Черномысинского сельсовета</w:t>
      </w:r>
    </w:p>
    <w:p w:rsidR="00D0159F" w:rsidRPr="00D0159F" w:rsidRDefault="00D0159F" w:rsidP="00D0159F">
      <w:pPr>
        <w:tabs>
          <w:tab w:val="left" w:pos="706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0159F">
        <w:rPr>
          <w:rFonts w:ascii="Times New Roman" w:hAnsi="Times New Roman" w:cs="Times New Roman"/>
          <w:sz w:val="28"/>
          <w:szCs w:val="28"/>
        </w:rPr>
        <w:t xml:space="preserve">_________________В.В.Серафимович                                                                            </w:t>
      </w:r>
    </w:p>
    <w:p w:rsidR="00D0159F" w:rsidRPr="00D0159F" w:rsidRDefault="00D0159F" w:rsidP="00D0159F">
      <w:pPr>
        <w:pStyle w:val="3"/>
        <w:ind w:firstLine="0"/>
        <w:jc w:val="left"/>
        <w:rPr>
          <w:b/>
          <w:i/>
          <w:szCs w:val="28"/>
        </w:rPr>
      </w:pPr>
    </w:p>
    <w:p w:rsidR="00D0159F" w:rsidRPr="00D0159F" w:rsidRDefault="00D0159F" w:rsidP="00D0159F">
      <w:pPr>
        <w:pStyle w:val="3"/>
        <w:ind w:firstLine="0"/>
        <w:jc w:val="left"/>
        <w:rPr>
          <w:b/>
          <w:i/>
          <w:szCs w:val="28"/>
        </w:rPr>
      </w:pPr>
    </w:p>
    <w:p w:rsidR="00D0159F" w:rsidRPr="00D0159F" w:rsidRDefault="00D0159F" w:rsidP="00D015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59F">
        <w:rPr>
          <w:rFonts w:ascii="Times New Roman" w:hAnsi="Times New Roman" w:cs="Times New Roman"/>
          <w:b/>
          <w:sz w:val="28"/>
          <w:szCs w:val="28"/>
        </w:rPr>
        <w:t>Прогноз  социально-экономического развития  Черномысинского сельсовета  Убинского  района Новосибирской  области  на  2018год и пановой  период 2019 и  2020 годы.</w:t>
      </w:r>
    </w:p>
    <w:p w:rsidR="00D0159F" w:rsidRPr="00D0159F" w:rsidRDefault="00D0159F" w:rsidP="00D0159F">
      <w:pPr>
        <w:pStyle w:val="Normal"/>
        <w:rPr>
          <w:sz w:val="28"/>
          <w:szCs w:val="28"/>
        </w:rPr>
      </w:pPr>
    </w:p>
    <w:p w:rsidR="00D0159F" w:rsidRPr="00D0159F" w:rsidRDefault="00D0159F" w:rsidP="00D0159F">
      <w:pPr>
        <w:pStyle w:val="Normal"/>
        <w:rPr>
          <w:sz w:val="28"/>
          <w:szCs w:val="28"/>
        </w:rPr>
      </w:pPr>
    </w:p>
    <w:tbl>
      <w:tblPr>
        <w:tblW w:w="15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2"/>
        <w:gridCol w:w="3348"/>
        <w:gridCol w:w="893"/>
        <w:gridCol w:w="893"/>
        <w:gridCol w:w="798"/>
        <w:gridCol w:w="1189"/>
        <w:gridCol w:w="987"/>
        <w:gridCol w:w="1115"/>
        <w:gridCol w:w="1116"/>
        <w:gridCol w:w="1189"/>
        <w:gridCol w:w="764"/>
        <w:gridCol w:w="893"/>
        <w:gridCol w:w="1115"/>
      </w:tblGrid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  <w:tblHeader/>
        </w:trPr>
        <w:tc>
          <w:tcPr>
            <w:tcW w:w="893" w:type="dxa"/>
            <w:vMerge w:val="restart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№</w:t>
            </w: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п/п</w:t>
            </w:r>
          </w:p>
        </w:tc>
        <w:tc>
          <w:tcPr>
            <w:tcW w:w="3348" w:type="dxa"/>
            <w:vMerge w:val="restart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Показатели развития</w:t>
            </w: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893" w:type="dxa"/>
            <w:vMerge w:val="restart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Един.</w:t>
            </w: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измер.</w:t>
            </w:r>
          </w:p>
        </w:tc>
        <w:tc>
          <w:tcPr>
            <w:tcW w:w="1691" w:type="dxa"/>
            <w:gridSpan w:val="2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2016г</w:t>
            </w:r>
          </w:p>
        </w:tc>
        <w:tc>
          <w:tcPr>
            <w:tcW w:w="2175" w:type="dxa"/>
            <w:gridSpan w:val="2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2017г</w:t>
            </w:r>
          </w:p>
        </w:tc>
        <w:tc>
          <w:tcPr>
            <w:tcW w:w="2231" w:type="dxa"/>
            <w:gridSpan w:val="2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 xml:space="preserve">2018г.          </w:t>
            </w:r>
          </w:p>
        </w:tc>
        <w:tc>
          <w:tcPr>
            <w:tcW w:w="1953" w:type="dxa"/>
            <w:gridSpan w:val="2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2019г</w:t>
            </w:r>
          </w:p>
        </w:tc>
        <w:tc>
          <w:tcPr>
            <w:tcW w:w="2008" w:type="dxa"/>
            <w:gridSpan w:val="2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2020г.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  <w:tblHeader/>
        </w:trPr>
        <w:tc>
          <w:tcPr>
            <w:tcW w:w="893" w:type="dxa"/>
            <w:vMerge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</w:tc>
        <w:tc>
          <w:tcPr>
            <w:tcW w:w="3348" w:type="dxa"/>
            <w:vMerge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</w:tc>
        <w:tc>
          <w:tcPr>
            <w:tcW w:w="893" w:type="dxa"/>
            <w:vMerge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факт</w:t>
            </w:r>
          </w:p>
        </w:tc>
        <w:tc>
          <w:tcPr>
            <w:tcW w:w="798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в % к 2015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оценка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в % к 2016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план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в % к 2017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план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в % к 2018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план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в % к 2019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177"/>
        </w:trPr>
        <w:tc>
          <w:tcPr>
            <w:tcW w:w="893" w:type="dxa"/>
          </w:tcPr>
          <w:p w:rsidR="00D0159F" w:rsidRPr="00D0159F" w:rsidRDefault="00D0159F" w:rsidP="0097285E">
            <w:pPr>
              <w:pStyle w:val="8"/>
              <w:numPr>
                <w:ilvl w:val="0"/>
                <w:numId w:val="1"/>
              </w:numPr>
              <w:rPr>
                <w:b w:val="0"/>
                <w:bCs w:val="0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97285E">
            <w:pPr>
              <w:pStyle w:val="8"/>
              <w:rPr>
                <w:b w:val="0"/>
                <w:bCs w:val="0"/>
                <w:szCs w:val="28"/>
              </w:rPr>
            </w:pPr>
            <w:r w:rsidRPr="00D0159F">
              <w:rPr>
                <w:b w:val="0"/>
                <w:bCs w:val="0"/>
                <w:szCs w:val="28"/>
              </w:rPr>
              <w:t>Численность населения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тыс. чел.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0,528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91,9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0,490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92,8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0,488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0,99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0,485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0,99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0,480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0,98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177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Прирост + (убыль -) населения с учетом миграции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чел.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-8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-38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-2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-3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-5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177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Число прибывших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177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Число выбывших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38,0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2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4,75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2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0,05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3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1,5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5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1,6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177"/>
        </w:trPr>
        <w:tc>
          <w:tcPr>
            <w:tcW w:w="893" w:type="dxa"/>
          </w:tcPr>
          <w:p w:rsidR="00D0159F" w:rsidRPr="00D0159F" w:rsidRDefault="00D0159F" w:rsidP="0097285E">
            <w:pPr>
              <w:pStyle w:val="8"/>
              <w:numPr>
                <w:ilvl w:val="0"/>
                <w:numId w:val="1"/>
              </w:numPr>
              <w:rPr>
                <w:b w:val="0"/>
                <w:bCs w:val="0"/>
                <w:snapToGrid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97285E">
            <w:pPr>
              <w:pStyle w:val="8"/>
              <w:rPr>
                <w:b w:val="0"/>
                <w:bCs w:val="0"/>
                <w:snapToGrid/>
                <w:szCs w:val="28"/>
              </w:rPr>
            </w:pPr>
            <w:r w:rsidRPr="00D0159F">
              <w:rPr>
                <w:b w:val="0"/>
                <w:bCs w:val="0"/>
                <w:snapToGrid/>
                <w:szCs w:val="28"/>
              </w:rPr>
              <w:t>Создание новых рабочих мест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177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Отношение численности занятых в экономике к общей численности населения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13,6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32,8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33,0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33,6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34,3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177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Уровень безработицы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6,4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6,4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11,2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11,5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12,0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177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млн. руб.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10,539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112,4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11,616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110,2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12,784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110,0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13,600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106,4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15,075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110,8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177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 xml:space="preserve">Индекс физического объема  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77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94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96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97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177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Сельскохозяйственное производство на душу населения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руб./чел.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15969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120,3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18570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116,3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21386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115,2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24087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112,6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27260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113,2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177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Производительность труда на 1 занятого в отрасли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38,5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101,3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39,7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39,71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40,398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101,7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41,47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102,6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565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 xml:space="preserve">Валовой сбор зерновых и зернобобовых культур во всех категориях хозяйств (вес после доработки) 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тыс. тонн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0,200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114,9</w:t>
            </w:r>
          </w:p>
        </w:tc>
        <w:tc>
          <w:tcPr>
            <w:tcW w:w="1189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0,200</w:t>
            </w:r>
          </w:p>
        </w:tc>
        <w:tc>
          <w:tcPr>
            <w:tcW w:w="987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0,200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100,0</w:t>
            </w:r>
          </w:p>
        </w:tc>
        <w:tc>
          <w:tcPr>
            <w:tcW w:w="1189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0,200</w:t>
            </w:r>
          </w:p>
        </w:tc>
        <w:tc>
          <w:tcPr>
            <w:tcW w:w="764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0,200</w:t>
            </w:r>
          </w:p>
        </w:tc>
        <w:tc>
          <w:tcPr>
            <w:tcW w:w="1115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129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 xml:space="preserve">Урожайность зерновых и зернобобовых культур во всех категориях хозяйств 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ц/га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189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987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115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115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189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764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115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129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Поголовье скота  (все категории хозяйств):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heading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159F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heading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159F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heading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159F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heading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159F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heading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159F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heading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159F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heading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159F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heading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159F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182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- крупный рогатый скот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тыс. голов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0,328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101,5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0,318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103,1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0,320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103,2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0,320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0,320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168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 xml:space="preserve">  в том числе коровы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тыс. голов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0,148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93,67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0,148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0,155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101,3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0,167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107,7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0,180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107,8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- свиньи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тыс. г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0,108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140,2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0,111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97,30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0,118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94,07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0,120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98,34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0,126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95,24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294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молока (все категории хозяйств) </w:t>
            </w:r>
          </w:p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тыс. т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0,543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113,7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0,533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103,0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0,533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107,4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0,533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102,3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0,533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100,0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104,4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126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106,8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132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104,8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133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100,8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134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100,8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309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Объем строительно-монтажных работ, включая хозспособ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89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224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 xml:space="preserve">Индекс физического объема  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79,6</w:t>
            </w:r>
          </w:p>
        </w:tc>
        <w:tc>
          <w:tcPr>
            <w:tcW w:w="1189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87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88,5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89,7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91,7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92,0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457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кв.м.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565"/>
        </w:trPr>
        <w:tc>
          <w:tcPr>
            <w:tcW w:w="893" w:type="dxa"/>
          </w:tcPr>
          <w:p w:rsidR="00D0159F" w:rsidRPr="00D0159F" w:rsidRDefault="00D0159F" w:rsidP="0097285E">
            <w:pPr>
              <w:pStyle w:val="a3"/>
              <w:numPr>
                <w:ilvl w:val="0"/>
                <w:numId w:val="1"/>
              </w:numPr>
              <w:rPr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97285E">
            <w:pPr>
              <w:pStyle w:val="a3"/>
              <w:rPr>
                <w:szCs w:val="28"/>
              </w:rPr>
            </w:pPr>
            <w:r w:rsidRPr="00D0159F">
              <w:rPr>
                <w:szCs w:val="28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кв.м.общ.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229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 xml:space="preserve">Перевозки грузов автомобильным транспортом  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тыс. т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89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Перевозки пассажиров автомобильным транспортом  общего пользования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тыс.чел.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294,7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6,4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114,2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6,5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101,5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6,6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101,5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6,7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101,5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893" w:type="dxa"/>
          </w:tcPr>
          <w:p w:rsidR="00D0159F" w:rsidRPr="00D0159F" w:rsidRDefault="00D0159F" w:rsidP="0097285E">
            <w:pPr>
              <w:pStyle w:val="a3"/>
              <w:numPr>
                <w:ilvl w:val="0"/>
                <w:numId w:val="1"/>
              </w:numPr>
              <w:rPr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97285E">
            <w:pPr>
              <w:pStyle w:val="a3"/>
              <w:rPr>
                <w:szCs w:val="28"/>
              </w:rPr>
            </w:pPr>
            <w:r w:rsidRPr="00D0159F">
              <w:rPr>
                <w:szCs w:val="28"/>
              </w:rPr>
              <w:t>Оборот розничной торговли, включая общественное  питание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</w:p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5,4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120,0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6,5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120,0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7,7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118,5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9,0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116,8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Индекс физического объема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113,3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109,1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112,8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112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110,5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Оборот розничной торговли на душу населения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руб./ч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7745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120,1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9358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120,8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11304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120,8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13628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120,6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16275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118,6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 xml:space="preserve">Объем платных услуг населению  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млн.</w:t>
            </w:r>
          </w:p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0,590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118,0</w:t>
            </w:r>
          </w:p>
        </w:tc>
        <w:tc>
          <w:tcPr>
            <w:tcW w:w="1189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0,690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117,0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0,790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114,5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0,900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113,9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0,990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110,0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Индекс физического объема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104,4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105,9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100,8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102,5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99,5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 xml:space="preserve">Из общего объема услуг -  объем бытовых  услуг   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млн.</w:t>
            </w:r>
          </w:p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0,0194</w:t>
            </w:r>
          </w:p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97,9</w:t>
            </w:r>
          </w:p>
        </w:tc>
        <w:tc>
          <w:tcPr>
            <w:tcW w:w="1189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0,0190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99,4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0,0189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97,2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0,0185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97,2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0,018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97,2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Индекс физического объема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86,6</w:t>
            </w:r>
          </w:p>
        </w:tc>
        <w:tc>
          <w:tcPr>
            <w:tcW w:w="1189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87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85,6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87,5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87,9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Объем платных услуг  на душу населения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руб./чел.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1015,5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128,4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1195,8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117,4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1373,9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115,3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1592,9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115,9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1790,2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117,0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Инвестиции в основной капитал  за счет всех источников финансирования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млн.</w:t>
            </w:r>
          </w:p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1,0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1,0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1,0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100,0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1,0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100,0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Индекс физического объема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90,1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92,0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jc w:val="center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91,9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Инвестиции в основной капитал  на душу населения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руб./чел.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1733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1739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100,3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1770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101,8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1808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102,1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 плата 1 работника (по всем предприятиям)</w:t>
            </w:r>
          </w:p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1456,0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111,9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1629,2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112,5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1832,8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115,7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2120,5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115,0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2438,5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115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Среднедушевые денежные доходы населения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2890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102,5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2950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112,7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3304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112,2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4030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110,5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4231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109,2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Собственные доходы местного бюджета, всего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млн. руб.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1442,5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75,6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31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1277,7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88,58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1049,2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82,12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1103,2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105,1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1096,6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99,41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 собственными доходами бюджета на 1 человека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159,5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84,7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207,2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129,9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217,4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104,9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230,1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105,8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238,7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103,7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Детская смертность на 1000 новорожденных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Охват работающего населения профилактическими осмотрами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90,0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91,0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91,5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92,0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Охват детей диспансерным наблюдением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100,0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100,0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Удельный вес детей, посещающих детские дошкольные учреждения, от общей численности детей дошкольного возраста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Удельный вес детей в возрасте 7-15 лет, обучающихся в общеобразовательных школах, от общей численности детей данной возрастной категории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100,0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100,0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учеников, обучающихся во 2 смену 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Обеспеченность молодежи в возрасте до 30 лет местами в системе профессионального образования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мест/чел.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798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Муниципальный заказ на специалистов (число направляемых в вузы за счет муниципального бюджета)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Количество приемных семей</w:t>
            </w:r>
          </w:p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150,0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100,0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100,0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Количество детей, воспитывающихся в приемных семьях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100,0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100,0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Сумма расходов на пособия детям, воспитывающимся в приемных семьях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151,5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133,5</w:t>
            </w:r>
          </w:p>
        </w:tc>
        <w:tc>
          <w:tcPr>
            <w:tcW w:w="1189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106,9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161,9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106,9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114,3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106,9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114,3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106,9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114,3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Сумма расходов на заработную плату приемным родителям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184,2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274,5</w:t>
            </w:r>
          </w:p>
        </w:tc>
        <w:tc>
          <w:tcPr>
            <w:tcW w:w="1189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149,2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222,6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149,2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222,6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149,2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222,6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149,2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222,6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Количество детей, находящихся под опекой (попечительством)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66,7</w:t>
            </w:r>
          </w:p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0,1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0,1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0,1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0,1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В том числе количество детей, получающих пособие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89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Сумма выплачиваемых пособий на содержание детей под опекой (попечительством)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320,7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133,5</w:t>
            </w:r>
          </w:p>
        </w:tc>
        <w:tc>
          <w:tcPr>
            <w:tcW w:w="1189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428,13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133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569,4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626,3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110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688,9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110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Количество граждан, состоящих в очереди на получение социального жилья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 xml:space="preserve">чел. 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2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100,0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100,0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Уровень оплаты населением ЖКУ (от экономически обоснованных затрат)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Среднестатистическая единица по ЖКХ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9,02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119,5</w:t>
            </w:r>
          </w:p>
        </w:tc>
        <w:tc>
          <w:tcPr>
            <w:tcW w:w="1189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10,43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115,6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11,99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115,0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13,55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113,0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15,31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113,0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Количество населения, потребляющего питьевую воду, не соответствующую санитарным нормам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% от общего кол-ва нас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8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Доходы от аренды муниципального имущества и земли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6,0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0,18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6,0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0,36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6,0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0,36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6,0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0,36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Обеспеченность транспортными средствами общего пользования на 1000 человек 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101,2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83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101,2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84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101,2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85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101,2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86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101,2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Обеспеченность населения домашними телефонами  на 100 жителей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14,5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103,4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15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101,0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15,1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100,6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15,5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102,6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15,6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100,6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Охват населенных пунктов сетью мобильной   связи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32,0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35,0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36,0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38,0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освещенных улиц  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% от общей прот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90,0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95,0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100,0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100,0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Доля учреждений образования, оборудованных: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5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- водопроводом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8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- горячим водоснабжением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8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 xml:space="preserve">- сливной канализацией 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8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Доля жилья, оборудованного: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</w:tc>
        <w:tc>
          <w:tcPr>
            <w:tcW w:w="1189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</w:tc>
        <w:tc>
          <w:tcPr>
            <w:tcW w:w="1115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</w:tc>
        <w:tc>
          <w:tcPr>
            <w:tcW w:w="1189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</w:tc>
        <w:tc>
          <w:tcPr>
            <w:tcW w:w="893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 xml:space="preserve">-  сетевым газом 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8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водопроводом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8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</w:tr>
      <w:tr w:rsidR="00D0159F" w:rsidRPr="00D0159F" w:rsidTr="0097285E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893" w:type="dxa"/>
          </w:tcPr>
          <w:p w:rsidR="00D0159F" w:rsidRPr="00D0159F" w:rsidRDefault="00D0159F" w:rsidP="00D0159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8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 xml:space="preserve">- сливной канализацией 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8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87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15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1189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4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  <w:tc>
          <w:tcPr>
            <w:tcW w:w="893" w:type="dxa"/>
          </w:tcPr>
          <w:p w:rsidR="00D0159F" w:rsidRPr="00D0159F" w:rsidRDefault="00D0159F" w:rsidP="00D01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15" w:type="dxa"/>
          </w:tcPr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</w:p>
          <w:p w:rsidR="00D0159F" w:rsidRPr="00D0159F" w:rsidRDefault="00D0159F" w:rsidP="0097285E">
            <w:pPr>
              <w:pStyle w:val="Normal"/>
              <w:rPr>
                <w:sz w:val="28"/>
                <w:szCs w:val="28"/>
              </w:rPr>
            </w:pPr>
            <w:r w:rsidRPr="00D0159F">
              <w:rPr>
                <w:sz w:val="28"/>
                <w:szCs w:val="28"/>
              </w:rPr>
              <w:t>Х</w:t>
            </w:r>
          </w:p>
        </w:tc>
      </w:tr>
    </w:tbl>
    <w:p w:rsidR="00D0159F" w:rsidRPr="00D0159F" w:rsidRDefault="00D0159F" w:rsidP="00D0159F">
      <w:pPr>
        <w:pStyle w:val="BodyText3"/>
        <w:rPr>
          <w:rFonts w:ascii="Times New Roman" w:hAnsi="Times New Roman"/>
          <w:szCs w:val="28"/>
        </w:rPr>
      </w:pPr>
      <w:r w:rsidRPr="00D0159F">
        <w:rPr>
          <w:rFonts w:ascii="Times New Roman" w:hAnsi="Times New Roman"/>
          <w:szCs w:val="28"/>
        </w:rPr>
        <w:t xml:space="preserve">         </w:t>
      </w:r>
    </w:p>
    <w:p w:rsidR="00D0159F" w:rsidRPr="00D0159F" w:rsidRDefault="00D0159F" w:rsidP="00D0159F">
      <w:pPr>
        <w:pStyle w:val="BodyText3"/>
        <w:rPr>
          <w:rFonts w:ascii="Times New Roman" w:hAnsi="Times New Roman"/>
          <w:szCs w:val="28"/>
        </w:rPr>
      </w:pPr>
    </w:p>
    <w:p w:rsidR="00D0159F" w:rsidRPr="00D0159F" w:rsidRDefault="00D0159F" w:rsidP="00D0159F">
      <w:pPr>
        <w:pStyle w:val="BodyText3"/>
        <w:rPr>
          <w:rFonts w:ascii="Times New Roman" w:hAnsi="Times New Roman"/>
          <w:szCs w:val="28"/>
        </w:rPr>
      </w:pPr>
    </w:p>
    <w:p w:rsidR="00D0159F" w:rsidRPr="00D0159F" w:rsidRDefault="00D0159F" w:rsidP="00D0159F">
      <w:pPr>
        <w:pStyle w:val="BodyText3"/>
        <w:rPr>
          <w:rFonts w:ascii="Times New Roman" w:hAnsi="Times New Roman"/>
          <w:szCs w:val="28"/>
        </w:rPr>
      </w:pPr>
    </w:p>
    <w:p w:rsidR="00024996" w:rsidRPr="00D0159F" w:rsidRDefault="00024996" w:rsidP="00D0159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24996" w:rsidRPr="00D0159F" w:rsidSect="00810BE0">
      <w:headerReference w:type="even" r:id="rId5"/>
      <w:footerReference w:type="default" r:id="rId6"/>
      <w:pgSz w:w="16840" w:h="11907" w:orient="landscape" w:code="9"/>
      <w:pgMar w:top="1418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E45" w:rsidRDefault="00024996">
    <w:pPr>
      <w:pStyle w:val="a5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E45" w:rsidRDefault="0002499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44A8A"/>
    <w:multiLevelType w:val="hybridMultilevel"/>
    <w:tmpl w:val="CD8CF3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0159F"/>
    <w:rsid w:val="00024996"/>
    <w:rsid w:val="00D01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qFormat/>
    <w:rsid w:val="00D0159F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snapToGrid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D0159F"/>
    <w:rPr>
      <w:rFonts w:ascii="Times New Roman" w:eastAsia="Times New Roman" w:hAnsi="Times New Roman" w:cs="Times New Roman"/>
      <w:b/>
      <w:bCs/>
      <w:snapToGrid w:val="0"/>
      <w:sz w:val="28"/>
      <w:szCs w:val="24"/>
    </w:rPr>
  </w:style>
  <w:style w:type="paragraph" w:styleId="a3">
    <w:name w:val="header"/>
    <w:aliases w:val="ВерхКолонтитул"/>
    <w:basedOn w:val="a"/>
    <w:link w:val="a4"/>
    <w:rsid w:val="00D01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Верхний колонтитул Знак"/>
    <w:basedOn w:val="a0"/>
    <w:link w:val="a3"/>
    <w:rsid w:val="00D0159F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footer"/>
    <w:basedOn w:val="a"/>
    <w:link w:val="a6"/>
    <w:rsid w:val="00D01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D0159F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Indent 3"/>
    <w:basedOn w:val="a"/>
    <w:link w:val="30"/>
    <w:rsid w:val="00D0159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D0159F"/>
    <w:rPr>
      <w:rFonts w:ascii="Times New Roman" w:eastAsia="Times New Roman" w:hAnsi="Times New Roman" w:cs="Times New Roman"/>
      <w:sz w:val="28"/>
      <w:szCs w:val="20"/>
    </w:rPr>
  </w:style>
  <w:style w:type="paragraph" w:customStyle="1" w:styleId="Normal">
    <w:name w:val="Normal"/>
    <w:rsid w:val="00D0159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BodyText3">
    <w:name w:val="Body Text 3"/>
    <w:basedOn w:val="Normal"/>
    <w:rsid w:val="00D0159F"/>
    <w:pPr>
      <w:widowControl/>
    </w:pPr>
    <w:rPr>
      <w:rFonts w:ascii="Arial" w:hAnsi="Arial"/>
      <w:snapToGrid/>
      <w:color w:val="FF0000"/>
      <w:sz w:val="28"/>
    </w:rPr>
  </w:style>
  <w:style w:type="paragraph" w:styleId="31">
    <w:name w:val="toc 3"/>
    <w:basedOn w:val="a"/>
    <w:next w:val="a"/>
    <w:autoRedefine/>
    <w:semiHidden/>
    <w:rsid w:val="00D0159F"/>
    <w:pPr>
      <w:widowControl w:val="0"/>
      <w:autoSpaceDE w:val="0"/>
      <w:autoSpaceDN w:val="0"/>
      <w:adjustRightInd w:val="0"/>
      <w:spacing w:after="0" w:line="36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">
    <w:name w:val="heading 2"/>
    <w:basedOn w:val="Normal"/>
    <w:next w:val="Normal"/>
    <w:rsid w:val="00D0159F"/>
    <w:pPr>
      <w:keepNext/>
      <w:widowControl/>
      <w:jc w:val="center"/>
      <w:outlineLvl w:val="1"/>
    </w:pPr>
    <w:rPr>
      <w:rFonts w:ascii="Arial" w:hAnsi="Arial"/>
      <w:snapToGrid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1144</Words>
  <Characters>6525</Characters>
  <Application>Microsoft Office Word</Application>
  <DocSecurity>0</DocSecurity>
  <Lines>54</Lines>
  <Paragraphs>15</Paragraphs>
  <ScaleCrop>false</ScaleCrop>
  <Company>Reanimator Extreme Edition</Company>
  <LinksUpToDate>false</LinksUpToDate>
  <CharactersWithSpaces>7654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2017-12-04T02:47:00Z</dcterms:created>
  <dcterms:modified xsi:type="dcterms:W3CDTF">2017-12-04T02:49:00Z</dcterms:modified>
</cp:coreProperties>
</file>